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Arial"/>
          <w:bCs/>
          <w:kern w:val="0"/>
          <w:sz w:val="28"/>
          <w:szCs w:val="28"/>
        </w:rPr>
      </w:pPr>
      <w:r>
        <w:rPr>
          <w:rFonts w:ascii="黑体" w:hAnsi="黑体" w:eastAsia="黑体" w:cs="Arial"/>
          <w:bCs/>
          <w:kern w:val="0"/>
          <w:sz w:val="28"/>
          <w:szCs w:val="28"/>
        </w:rPr>
        <w:t>附件</w:t>
      </w:r>
      <w:r>
        <w:rPr>
          <w:rFonts w:hint="eastAsia" w:ascii="黑体" w:hAnsi="黑体" w:eastAsia="黑体" w:cs="Arial"/>
          <w:bCs/>
          <w:kern w:val="0"/>
          <w:sz w:val="28"/>
          <w:szCs w:val="28"/>
        </w:rPr>
        <w:t>1</w:t>
      </w:r>
    </w:p>
    <w:p>
      <w:pPr>
        <w:jc w:val="center"/>
        <w:rPr>
          <w:rFonts w:ascii="宋体" w:hAnsi="宋体"/>
          <w:b/>
          <w:sz w:val="28"/>
          <w:szCs w:val="28"/>
        </w:rPr>
      </w:pPr>
      <w:bookmarkStart w:id="0" w:name="_GoBack"/>
      <w:r>
        <w:rPr>
          <w:rFonts w:hint="eastAsia" w:ascii="宋体" w:hAnsi="宋体"/>
          <w:b/>
          <w:sz w:val="28"/>
          <w:szCs w:val="28"/>
        </w:rPr>
        <w:t>内蒙古自治区工程建设监理企业信用评价标准</w:t>
      </w:r>
    </w:p>
    <w:bookmarkEnd w:id="0"/>
    <w:p>
      <w:pPr>
        <w:rPr>
          <w:rFonts w:ascii="黑体" w:hAnsi="黑体" w:eastAsia="黑体"/>
          <w:szCs w:val="21"/>
        </w:rPr>
      </w:pPr>
      <w:r>
        <w:rPr>
          <w:rFonts w:hint="eastAsia" w:ascii="仿宋" w:hAnsi="仿宋" w:eastAsia="仿宋"/>
          <w:szCs w:val="21"/>
        </w:rPr>
        <w:t xml:space="preserve"> </w:t>
      </w:r>
      <w:r>
        <w:rPr>
          <w:rFonts w:hint="eastAsia" w:ascii="黑体" w:hAnsi="黑体" w:eastAsia="黑体"/>
          <w:szCs w:val="21"/>
        </w:rPr>
        <w:t xml:space="preserve">附件1-1               </w:t>
      </w:r>
      <w:r>
        <w:rPr>
          <w:rFonts w:ascii="黑体" w:hAnsi="黑体" w:eastAsia="黑体"/>
          <w:szCs w:val="21"/>
        </w:rPr>
        <w:t xml:space="preserve">       </w:t>
      </w:r>
    </w:p>
    <w:p>
      <w:pPr>
        <w:ind w:firstLine="3092" w:firstLineChars="11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b/>
          <w:sz w:val="28"/>
          <w:szCs w:val="28"/>
        </w:rPr>
        <w:t>基本信息评价标准表</w:t>
      </w:r>
    </w:p>
    <w:tbl>
      <w:tblPr>
        <w:tblStyle w:val="2"/>
        <w:tblpPr w:leftFromText="180" w:rightFromText="180" w:vertAnchor="text" w:tblpXSpec="center" w:tblpY="1"/>
        <w:tblOverlap w:val="never"/>
        <w:tblW w:w="10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587"/>
        <w:gridCol w:w="5225"/>
        <w:gridCol w:w="2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118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评价内容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评价内容子项</w:t>
            </w:r>
          </w:p>
        </w:tc>
        <w:tc>
          <w:tcPr>
            <w:tcW w:w="522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评价标准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11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基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信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息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100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分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企业资质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20分</w:t>
            </w:r>
          </w:p>
        </w:tc>
        <w:tc>
          <w:tcPr>
            <w:tcW w:w="5225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企业各项注册条件满足规定计20分，每缺一名注册工程师扣1分。</w:t>
            </w:r>
          </w:p>
        </w:tc>
        <w:tc>
          <w:tcPr>
            <w:tcW w:w="2210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对多个资质的企业扣分项进行叠加，以住房和城乡建设部全国建筑市场监管公共服务平台数据为准。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团队建设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15分</w:t>
            </w:r>
          </w:p>
        </w:tc>
        <w:tc>
          <w:tcPr>
            <w:tcW w:w="5225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级职称人员占员工总数比例达到10%以上的计5分，低于10%的计3分；国家注册工程师人员占员工总数比例达到20%以上的计5分，低于20%的计3分；大学本科以上人员占员工总数比例达到20%以上的计5分，低于20%的计3分。</w:t>
            </w:r>
          </w:p>
        </w:tc>
        <w:tc>
          <w:tcPr>
            <w:tcW w:w="2210" w:type="dxa"/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国家二级工程建设类注册人员不在计算之列，以从业人员职称、注册资格、学历证书为准。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依法纳税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15分</w:t>
            </w:r>
          </w:p>
        </w:tc>
        <w:tc>
          <w:tcPr>
            <w:tcW w:w="5225" w:type="dxa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依法纳税的计15分，每出现一次违规纳税行为的扣5分。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ascii="仿宋" w:hAnsi="仿宋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监理合同额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（万元）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10分</w:t>
            </w:r>
          </w:p>
        </w:tc>
        <w:tc>
          <w:tcPr>
            <w:tcW w:w="5225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甲级：3000万以上计10分，每降500万递减一分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乙级：2000万以上计10分，每降300万递减一分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丙级：800万以上计10分，每降100万递减一分</w:t>
            </w:r>
          </w:p>
        </w:tc>
        <w:tc>
          <w:tcPr>
            <w:tcW w:w="2210" w:type="dxa"/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以上一年度</w:t>
            </w:r>
            <w:r>
              <w:rPr>
                <w:rFonts w:hint="eastAsia" w:ascii="仿宋" w:hAnsi="仿宋" w:eastAsia="仿宋"/>
                <w:szCs w:val="21"/>
              </w:rPr>
              <w:t>监理企业营业收入统计报表数据</w:t>
            </w:r>
            <w:r>
              <w:rPr>
                <w:rFonts w:ascii="仿宋" w:hAnsi="仿宋" w:eastAsia="仿宋"/>
                <w:szCs w:val="21"/>
              </w:rPr>
              <w:t>为准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营业收入  （万元）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10分</w:t>
            </w:r>
          </w:p>
        </w:tc>
        <w:tc>
          <w:tcPr>
            <w:tcW w:w="5225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甲级：2000万以上计10分，每降400万递减一分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乙级：1000万以上计10分，每降200万递减一分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丙级：300万以上计10分，每降80万递减一分</w:t>
            </w:r>
          </w:p>
        </w:tc>
        <w:tc>
          <w:tcPr>
            <w:tcW w:w="2210" w:type="dxa"/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以上一年度企业财务审计报告为准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员工教育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15分</w:t>
            </w:r>
          </w:p>
        </w:tc>
        <w:tc>
          <w:tcPr>
            <w:tcW w:w="5225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企业教育资金投入占公司员工工资总额达到1%以上的计</w:t>
            </w:r>
            <w:r>
              <w:rPr>
                <w:rFonts w:ascii="仿宋" w:hAnsi="仿宋" w:eastAsia="仿宋"/>
                <w:szCs w:val="21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分，低于1%的计</w:t>
            </w:r>
            <w:r>
              <w:rPr>
                <w:rFonts w:ascii="仿宋" w:hAnsi="仿宋" w:eastAsia="仿宋"/>
                <w:szCs w:val="21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分，以教育资金投入发票为准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参加工程建设协会继续教育3分、培训2分、交流2分，共计7分。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技术装备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15分</w:t>
            </w:r>
          </w:p>
        </w:tc>
        <w:tc>
          <w:tcPr>
            <w:tcW w:w="5225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企业信息化管理建设、检测仪器设备、管理和技术软件等每年投入达到标准的（标准：综合资质15万元，甲级资质10万元，乙级资质及以下3万元计15分，达不到标准的计10分。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以发票为准</w:t>
            </w:r>
          </w:p>
        </w:tc>
      </w:tr>
    </w:tbl>
    <w:p>
      <w:pPr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注：1.评价内容子项中的指标按评价前1年内的平均值记取。</w:t>
      </w:r>
    </w:p>
    <w:p>
      <w:pPr>
        <w:ind w:firstLine="420" w:firstLineChars="2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2.评价时必须提供相关证明材料，相关证明材料能提供原件的必须提供原件备查或查询网址，不能提供原件或查询网址的要提供扫描件或复印件并加盖单位公章。</w:t>
      </w:r>
    </w:p>
    <w:p>
      <w:pPr>
        <w:ind w:firstLine="420" w:firstLineChars="2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3.每项评价内容子项计分不得超过规定的分值。</w:t>
      </w:r>
    </w:p>
    <w:p>
      <w:pPr>
        <w:ind w:firstLine="420" w:firstLineChars="2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4.提供与评价有关的财务信息必须是经过审计的财务报表。</w:t>
      </w:r>
    </w:p>
    <w:p>
      <w:pPr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 xml:space="preserve">附件1-2               </w:t>
      </w:r>
      <w:r>
        <w:rPr>
          <w:rFonts w:ascii="黑体" w:hAnsi="黑体" w:eastAsia="黑体"/>
          <w:szCs w:val="21"/>
        </w:rPr>
        <w:t xml:space="preserve">    </w:t>
      </w:r>
    </w:p>
    <w:p>
      <w:pPr>
        <w:ind w:firstLine="420" w:firstLineChars="200"/>
        <w:rPr>
          <w:rFonts w:ascii="仿宋" w:hAnsi="仿宋" w:eastAsia="仿宋"/>
          <w:szCs w:val="21"/>
        </w:rPr>
      </w:pPr>
    </w:p>
    <w:p>
      <w:pPr>
        <w:ind w:firstLine="2940" w:firstLineChars="14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Cs w:val="21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</w:rPr>
        <w:t>优良信用信息评价标准表</w:t>
      </w:r>
    </w:p>
    <w:tbl>
      <w:tblPr>
        <w:tblStyle w:val="2"/>
        <w:tblW w:w="519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435"/>
        <w:gridCol w:w="4335"/>
        <w:gridCol w:w="2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578" w:type="pc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评价内容</w:t>
            </w:r>
          </w:p>
        </w:tc>
        <w:tc>
          <w:tcPr>
            <w:tcW w:w="810" w:type="pc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评价内容子项</w:t>
            </w:r>
          </w:p>
        </w:tc>
        <w:tc>
          <w:tcPr>
            <w:tcW w:w="2447" w:type="pc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评价标准</w:t>
            </w:r>
          </w:p>
        </w:tc>
        <w:tc>
          <w:tcPr>
            <w:tcW w:w="1163" w:type="pc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578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优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良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信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用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信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息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100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分</w:t>
            </w:r>
          </w:p>
        </w:tc>
        <w:tc>
          <w:tcPr>
            <w:tcW w:w="810" w:type="pc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获奖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25分</w:t>
            </w:r>
          </w:p>
        </w:tc>
        <w:tc>
          <w:tcPr>
            <w:tcW w:w="2447" w:type="pct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每获得一项全国性奖项计8分；每获得一项省（部）级奖项计5分；每获得一项盟市级奖项计3分；每获得一项县（区）级奖项计1分。</w:t>
            </w:r>
          </w:p>
        </w:tc>
        <w:tc>
          <w:tcPr>
            <w:tcW w:w="1163" w:type="pct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包括各级建设行政主管部门和相关建设类行业协会颁发。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578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0" w:type="pc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表扬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10分</w:t>
            </w:r>
          </w:p>
        </w:tc>
        <w:tc>
          <w:tcPr>
            <w:tcW w:w="2447" w:type="pct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每获得一项国家级书面表扬计6分；每获得一项省（部）级书面表扬计5分；每获得一项盟市级书面表扬计3分；每获得一项县（区）级书面表扬计1分。</w:t>
            </w:r>
          </w:p>
        </w:tc>
        <w:tc>
          <w:tcPr>
            <w:tcW w:w="1163" w:type="pct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包括各级建设行政主管部门和相关建设类行业协会颁发。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578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10" w:type="pc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科学技术创新成果与应用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10分</w:t>
            </w:r>
          </w:p>
        </w:tc>
        <w:tc>
          <w:tcPr>
            <w:tcW w:w="2447" w:type="pct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每获得一项国家（国际）级奖项计8分；每获得一项省（部）级奖项计5分；每获得一项盟市级奖项计2分；每获得一项县（区）级奖项计1分；</w:t>
            </w:r>
          </w:p>
        </w:tc>
        <w:tc>
          <w:tcPr>
            <w:tcW w:w="1163" w:type="pct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包括各级建设行政主管部门和相关建设类行业协会颁发。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578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10" w:type="pc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三体系认证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2447" w:type="pct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完成三体系认证的计1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分（每缺一项扣2分）。</w:t>
            </w:r>
          </w:p>
        </w:tc>
        <w:tc>
          <w:tcPr>
            <w:tcW w:w="1163" w:type="pct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以三体系证书为准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578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10" w:type="pc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社会贡献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15分</w:t>
            </w:r>
          </w:p>
        </w:tc>
        <w:tc>
          <w:tcPr>
            <w:tcW w:w="2447" w:type="pct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每参加一次抢险救灾、扶贫、捐款等公益性活动的计5分。</w:t>
            </w:r>
          </w:p>
        </w:tc>
        <w:tc>
          <w:tcPr>
            <w:tcW w:w="1163" w:type="pct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以活动照片或缴纳凭证、证书为准。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578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10" w:type="pc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协会活动</w:t>
            </w:r>
          </w:p>
          <w:p>
            <w:pPr>
              <w:jc w:val="center"/>
              <w:rPr>
                <w:rFonts w:ascii="仿宋" w:hAnsi="仿宋" w:eastAsia="仿宋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2447" w:type="pct"/>
            <w:vAlign w:val="center"/>
          </w:tcPr>
          <w:p>
            <w:pPr>
              <w:rPr>
                <w:rFonts w:ascii="仿宋" w:hAnsi="仿宋" w:eastAsia="仿宋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szCs w:val="21"/>
              </w:rPr>
              <w:t>积极缴纳会费的计</w:t>
            </w:r>
            <w:r>
              <w:rPr>
                <w:rFonts w:ascii="仿宋" w:hAnsi="仿宋" w:eastAsia="仿宋"/>
                <w:szCs w:val="21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分，积极参加协会活动的计</w:t>
            </w:r>
            <w:r>
              <w:rPr>
                <w:rFonts w:ascii="仿宋" w:hAnsi="仿宋" w:eastAsia="仿宋"/>
                <w:szCs w:val="21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1163" w:type="pct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自列表格（时间、活动名称、参与人员）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578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10" w:type="pc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党建工作</w:t>
            </w:r>
          </w:p>
          <w:p>
            <w:pPr>
              <w:jc w:val="center"/>
              <w:rPr>
                <w:rFonts w:ascii="仿宋" w:hAnsi="仿宋" w:eastAsia="仿宋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2447" w:type="pct"/>
            <w:vAlign w:val="center"/>
          </w:tcPr>
          <w:p>
            <w:pPr>
              <w:rPr>
                <w:rFonts w:ascii="仿宋" w:hAnsi="仿宋" w:eastAsia="仿宋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szCs w:val="21"/>
              </w:rPr>
              <w:t>成立党组织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分，企业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</w:t>
            </w:r>
            <w:r>
              <w:rPr>
                <w:rFonts w:hint="eastAsia" w:ascii="仿宋" w:hAnsi="仿宋" w:eastAsia="仿宋"/>
                <w:szCs w:val="21"/>
              </w:rPr>
              <w:t>展党的知识或文件学习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分。</w:t>
            </w:r>
          </w:p>
        </w:tc>
        <w:tc>
          <w:tcPr>
            <w:tcW w:w="1163" w:type="pct"/>
            <w:vAlign w:val="center"/>
          </w:tcPr>
          <w:p>
            <w:pPr>
              <w:rPr>
                <w:rFonts w:ascii="仿宋" w:hAnsi="仿宋" w:eastAsia="仿宋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szCs w:val="21"/>
              </w:rPr>
              <w:t>以成立党组织批复文件或党建活动证明为准。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578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10" w:type="pc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企业信誉             10分</w:t>
            </w:r>
          </w:p>
        </w:tc>
        <w:tc>
          <w:tcPr>
            <w:tcW w:w="2447" w:type="pct"/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守合同重信用</w:t>
            </w:r>
          </w:p>
        </w:tc>
        <w:tc>
          <w:tcPr>
            <w:tcW w:w="1163" w:type="pct"/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以各级市场监督管理局文件</w:t>
            </w:r>
            <w:r>
              <w:rPr>
                <w:rFonts w:hint="eastAsia" w:ascii="仿宋" w:hAnsi="仿宋" w:eastAsia="仿宋"/>
                <w:szCs w:val="21"/>
              </w:rPr>
              <w:t>、</w:t>
            </w:r>
            <w:r>
              <w:rPr>
                <w:rFonts w:ascii="仿宋" w:hAnsi="仿宋" w:eastAsia="仿宋"/>
                <w:szCs w:val="21"/>
              </w:rPr>
              <w:t>证书为准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</w:tc>
      </w:tr>
    </w:tbl>
    <w:p>
      <w:pPr>
        <w:rPr>
          <w:rFonts w:ascii="仿宋" w:hAnsi="仿宋" w:eastAsia="仿宋"/>
          <w:szCs w:val="21"/>
        </w:rPr>
      </w:pPr>
    </w:p>
    <w:p>
      <w:pPr>
        <w:ind w:firstLine="420" w:firstLineChars="2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</w:t>
      </w:r>
    </w:p>
    <w:p>
      <w:pPr>
        <w:ind w:firstLine="420" w:firstLineChars="2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1.奖项、表扬及其他计分项必须是评价前1年内获得或开展的活动，奖项、表扬以发文时间为准，活动时间以提供的有效证明为准。</w:t>
      </w:r>
    </w:p>
    <w:p>
      <w:pPr>
        <w:ind w:firstLine="420" w:firstLineChars="2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2.每项评价内容子项计分不得超过规定的分值。</w:t>
      </w:r>
    </w:p>
    <w:p>
      <w:pPr>
        <w:ind w:firstLine="420" w:firstLineChars="2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3.评价时必须提供相关证明材料，相关证明材料能提供原件的必须提供原件备查或查询网址，不能提供原件或查询网址的要提供扫描件或复印件并加盖单位公章。</w:t>
      </w:r>
    </w:p>
    <w:p>
      <w:pPr>
        <w:ind w:firstLine="420" w:firstLineChars="2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4.获奖和科技成果中计分是按最高级别计分，有等级之分的每低一个等级的计分按1分标准递减。</w:t>
      </w:r>
      <w:r>
        <w:rPr>
          <w:rFonts w:ascii="仿宋" w:hAnsi="仿宋" w:eastAsia="仿宋"/>
          <w:szCs w:val="21"/>
        </w:rPr>
        <w:br w:type="page"/>
      </w:r>
    </w:p>
    <w:p>
      <w:pPr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 xml:space="preserve">附件1-3    </w:t>
      </w:r>
    </w:p>
    <w:p>
      <w:pPr>
        <w:ind w:firstLine="630" w:firstLine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Cs w:val="21"/>
        </w:rPr>
        <w:t xml:space="preserve">           </w:t>
      </w:r>
      <w:r>
        <w:rPr>
          <w:rFonts w:ascii="仿宋" w:hAnsi="仿宋" w:eastAsia="仿宋"/>
          <w:szCs w:val="21"/>
        </w:rPr>
        <w:t xml:space="preserve">      </w:t>
      </w:r>
      <w:r>
        <w:rPr>
          <w:rFonts w:hint="eastAsia" w:ascii="仿宋" w:hAnsi="仿宋" w:eastAsia="仿宋"/>
          <w:b/>
          <w:sz w:val="28"/>
          <w:szCs w:val="28"/>
        </w:rPr>
        <w:t>不良信用信息评价标准表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468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评价内容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评价内容子项</w:t>
            </w:r>
          </w:p>
        </w:tc>
        <w:tc>
          <w:tcPr>
            <w:tcW w:w="468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评价标准</w:t>
            </w:r>
          </w:p>
        </w:tc>
        <w:tc>
          <w:tcPr>
            <w:tcW w:w="126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</w:trPr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不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良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信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用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信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息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100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分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违规行为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35分</w:t>
            </w:r>
          </w:p>
        </w:tc>
        <w:tc>
          <w:tcPr>
            <w:tcW w:w="4680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每出现一次资质挂靠行为的扣10分，每出现一次停业整顿扣10分；每出现一次严重不良行为记录扣5分；每出现一次一般不良行为记录扣</w:t>
            </w:r>
            <w:r>
              <w:rPr>
                <w:rFonts w:hint="eastAsia" w:ascii="仿宋" w:hAnsi="仿宋" w:eastAsia="仿宋"/>
                <w:color w:val="FF0000"/>
                <w:szCs w:val="21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分；每出现一次盟市级以上书面通报批评扣</w:t>
            </w:r>
            <w:r>
              <w:rPr>
                <w:rFonts w:hint="eastAsia" w:ascii="仿宋" w:hAnsi="仿宋" w:eastAsia="仿宋"/>
                <w:color w:val="FF0000"/>
                <w:szCs w:val="21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分。每发生一项相关信息资料造假扣5分。</w:t>
            </w:r>
          </w:p>
        </w:tc>
        <w:tc>
          <w:tcPr>
            <w:tcW w:w="1260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质量和安全生产考核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25分</w:t>
            </w:r>
          </w:p>
        </w:tc>
        <w:tc>
          <w:tcPr>
            <w:tcW w:w="4680" w:type="dxa"/>
            <w:vAlign w:val="center"/>
          </w:tcPr>
          <w:p>
            <w:pPr>
              <w:rPr>
                <w:rFonts w:ascii="仿宋" w:hAnsi="仿宋" w:eastAsia="仿宋"/>
                <w:color w:val="FF000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工程建设监理企业未设置质量、安全管理部门扣5分；质量、安全管理制度文本资料不规范不完整扣5分。因监理原因，每发生一起较大质量安全事故扣</w:t>
            </w:r>
            <w:r>
              <w:rPr>
                <w:rFonts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分，每发生一起一般性质量安全事故扣</w:t>
            </w:r>
            <w:r>
              <w:rPr>
                <w:rFonts w:ascii="仿宋" w:hAnsi="仿宋" w:eastAsia="仿宋"/>
                <w:szCs w:val="21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分。</w:t>
            </w:r>
          </w:p>
        </w:tc>
        <w:tc>
          <w:tcPr>
            <w:tcW w:w="1260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黑名单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15分</w:t>
            </w:r>
          </w:p>
        </w:tc>
        <w:tc>
          <w:tcPr>
            <w:tcW w:w="4680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每出现一次被省（部）级部门列入黑名单的扣1</w:t>
            </w:r>
            <w:r>
              <w:rPr>
                <w:rFonts w:ascii="仿宋" w:hAnsi="仿宋" w:eastAsia="仿宋"/>
                <w:szCs w:val="21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分、盟市级部门的扣</w:t>
            </w:r>
            <w:r>
              <w:rPr>
                <w:rFonts w:ascii="仿宋" w:hAnsi="仿宋" w:eastAsia="仿宋"/>
                <w:szCs w:val="21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分。</w:t>
            </w:r>
          </w:p>
        </w:tc>
        <w:tc>
          <w:tcPr>
            <w:tcW w:w="1260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恶性竞争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15分</w:t>
            </w:r>
          </w:p>
        </w:tc>
        <w:tc>
          <w:tcPr>
            <w:tcW w:w="4680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每出现一次围标、串标、低于成本价竞争行为的扣5分。每出现一次履约不到位的扣1分。</w:t>
            </w:r>
          </w:p>
        </w:tc>
        <w:tc>
          <w:tcPr>
            <w:tcW w:w="1260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2" w:hRule="atLeas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对外地分支机构管理缺失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10分</w:t>
            </w:r>
          </w:p>
        </w:tc>
        <w:tc>
          <w:tcPr>
            <w:tcW w:w="4680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每出现一次企业对外地分支机构的无效管理扣5分，每出现一次被当地建设主管部门或行业协会的处罚、惩戒、通报批评的扣5分。</w:t>
            </w:r>
          </w:p>
        </w:tc>
        <w:tc>
          <w:tcPr>
            <w:tcW w:w="1260" w:type="dxa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ind w:firstLine="420" w:firstLineChars="200"/>
        <w:rPr>
          <w:rFonts w:ascii="仿宋" w:hAnsi="仿宋" w:eastAsia="仿宋"/>
          <w:szCs w:val="21"/>
        </w:rPr>
      </w:pPr>
    </w:p>
    <w:p>
      <w:pPr>
        <w:ind w:firstLine="420" w:firstLineChars="2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</w:t>
      </w:r>
    </w:p>
    <w:p>
      <w:pPr>
        <w:pStyle w:val="4"/>
        <w:numPr>
          <w:ilvl w:val="0"/>
          <w:numId w:val="1"/>
        </w:numPr>
        <w:ind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扣分项是评价前1年内发生的，以发文时间为准。</w:t>
      </w:r>
    </w:p>
    <w:p>
      <w:pPr>
        <w:numPr>
          <w:ilvl w:val="0"/>
          <w:numId w:val="1"/>
        </w:numPr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每项评价内容子项扣分不得超过规定的分值。</w:t>
      </w:r>
    </w:p>
    <w:p>
      <w:pPr>
        <w:numPr>
          <w:ilvl w:val="0"/>
          <w:numId w:val="1"/>
        </w:numPr>
        <w:tabs>
          <w:tab w:val="left" w:pos="142"/>
          <w:tab w:val="clear" w:pos="780"/>
        </w:tabs>
        <w:ind w:left="0" w:firstLine="42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评价时必须如实提供相关不良信息材料，无相关不良信息的提供“无相关不良信用信息承诺书”，并加盖单位行政公章。</w:t>
      </w:r>
    </w:p>
    <w:p>
      <w:pPr>
        <w:numPr>
          <w:ilvl w:val="0"/>
          <w:numId w:val="1"/>
        </w:numPr>
        <w:tabs>
          <w:tab w:val="left" w:pos="142"/>
          <w:tab w:val="clear" w:pos="780"/>
        </w:tabs>
        <w:ind w:left="0" w:firstLine="42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恶性竞争事件由盟市级以上建设主管部门或行业协会认定的。</w:t>
      </w:r>
    </w:p>
    <w:p>
      <w:r>
        <w:rPr>
          <w:rFonts w:hint="eastAsia" w:ascii="仿宋" w:hAnsi="仿宋" w:eastAsia="仿宋"/>
          <w:szCs w:val="21"/>
        </w:rPr>
        <w:t>对外地分公司管理进行评价时必须提供公司管理制度和对应的检查、考核记录等相关证明材料，出现缺失有效管理证明材料或有当地建设行业主管部门、行业协会提供的处罚、惩戒、通报批评时，被认定对外地分支机构管理缺失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4A04DC"/>
    <w:multiLevelType w:val="multilevel"/>
    <w:tmpl w:val="184A04DC"/>
    <w:lvl w:ilvl="0" w:tentative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  <w:rPr>
        <w:rFonts w:ascii="仿宋" w:hAnsi="仿宋" w:eastAsia="仿宋" w:cstheme="minorBidi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8D4515"/>
    <w:rsid w:val="508D4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2021-11-01T07:03:00Z</dcterms:created>
  <dc:creator>lenovod0</dc:creator>
  <cp:lastModifiedBy>lenovod0</cp:lastModifiedBy>
  <dcterms:modified xsi:type="dcterms:W3CDTF">2021-11-01T07:04:19Z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9BECA2D786E3489DBFFC0DBC8E3E17F1</vt:lpwstr>
  </property>
</Properties>
</file>