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6FCA" w:rsidRPr="00B749E8" w:rsidRDefault="00726FCA" w:rsidP="00726FCA">
      <w:pPr>
        <w:widowControl/>
        <w:adjustRightInd w:val="0"/>
        <w:snapToGrid w:val="0"/>
        <w:spacing w:line="560" w:lineRule="exact"/>
        <w:ind w:leftChars="1" w:left="639" w:hangingChars="199" w:hanging="637"/>
        <w:rPr>
          <w:rFonts w:ascii="黑体" w:eastAsia="黑体" w:hAnsi="黑体" w:hint="eastAsia"/>
          <w:sz w:val="32"/>
          <w:szCs w:val="32"/>
        </w:rPr>
      </w:pPr>
      <w:r w:rsidRPr="00B749E8">
        <w:rPr>
          <w:rFonts w:ascii="黑体" w:eastAsia="黑体" w:hAnsi="黑体" w:hint="eastAsia"/>
          <w:sz w:val="32"/>
          <w:szCs w:val="32"/>
        </w:rPr>
        <w:t>附件1</w:t>
      </w:r>
    </w:p>
    <w:p w:rsidR="00726FCA" w:rsidRPr="00B749E8" w:rsidRDefault="00726FCA" w:rsidP="00726FCA">
      <w:pPr>
        <w:widowControl/>
        <w:adjustRightInd w:val="0"/>
        <w:snapToGrid w:val="0"/>
        <w:spacing w:beforeLines="100" w:before="312" w:afterLines="100" w:after="312" w:line="560" w:lineRule="exact"/>
        <w:ind w:leftChars="1" w:left="721" w:hangingChars="199" w:hanging="719"/>
        <w:jc w:val="center"/>
        <w:rPr>
          <w:rFonts w:ascii="仿宋" w:eastAsia="仿宋" w:hAnsi="仿宋"/>
          <w:b/>
          <w:sz w:val="36"/>
          <w:szCs w:val="36"/>
        </w:rPr>
      </w:pPr>
      <w:bookmarkStart w:id="0" w:name="_GoBack"/>
      <w:r w:rsidRPr="00B749E8">
        <w:rPr>
          <w:rFonts w:ascii="仿宋" w:eastAsia="仿宋" w:hAnsi="仿宋" w:hint="eastAsia"/>
          <w:b/>
          <w:sz w:val="36"/>
          <w:szCs w:val="36"/>
        </w:rPr>
        <w:t>2021年全国一级造价工程师线上培训课程列表</w:t>
      </w:r>
      <w:bookmarkEnd w:id="0"/>
    </w:p>
    <w:tbl>
      <w:tblPr>
        <w:tblW w:w="9065" w:type="dxa"/>
        <w:jc w:val="center"/>
        <w:tblCellMar>
          <w:left w:w="0" w:type="dxa"/>
          <w:right w:w="0" w:type="dxa"/>
        </w:tblCellMar>
        <w:tblLook w:val="04A0" w:firstRow="1" w:lastRow="0" w:firstColumn="1" w:lastColumn="0" w:noHBand="0" w:noVBand="1"/>
      </w:tblPr>
      <w:tblGrid>
        <w:gridCol w:w="731"/>
        <w:gridCol w:w="6774"/>
        <w:gridCol w:w="1560"/>
      </w:tblGrid>
      <w:tr w:rsidR="00726FCA" w:rsidTr="00290061">
        <w:trPr>
          <w:trHeight w:val="300"/>
          <w:tblHeader/>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序号</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课程名称</w:t>
            </w:r>
          </w:p>
        </w:tc>
        <w:tc>
          <w:tcPr>
            <w:tcW w:w="156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课程类型</w:t>
            </w:r>
          </w:p>
        </w:tc>
      </w:tr>
      <w:tr w:rsidR="00726FCA" w:rsidTr="00290061">
        <w:trPr>
          <w:trHeight w:val="300"/>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1</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工程造价概论</w:t>
            </w:r>
          </w:p>
        </w:tc>
        <w:tc>
          <w:tcPr>
            <w:tcW w:w="1560" w:type="dxa"/>
            <w:vMerge w:val="restart"/>
            <w:tcBorders>
              <w:top w:val="single" w:sz="4" w:space="0" w:color="000000"/>
              <w:left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技术经济类</w:t>
            </w:r>
          </w:p>
        </w:tc>
      </w:tr>
      <w:tr w:rsidR="00726FCA" w:rsidTr="00290061">
        <w:trPr>
          <w:trHeight w:val="300"/>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2</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面向管理的微观经济学</w:t>
            </w:r>
          </w:p>
        </w:tc>
        <w:tc>
          <w:tcPr>
            <w:tcW w:w="1560" w:type="dxa"/>
            <w:vMerge/>
            <w:tcBorders>
              <w:left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3</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水利工程概估算编制注意事项</w:t>
            </w:r>
          </w:p>
        </w:tc>
        <w:tc>
          <w:tcPr>
            <w:tcW w:w="1560" w:type="dxa"/>
            <w:vMerge/>
            <w:tcBorders>
              <w:left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00"/>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4</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项目经理应掌握的全过程跟踪审计业务实施要点级方法</w:t>
            </w:r>
          </w:p>
        </w:tc>
        <w:tc>
          <w:tcPr>
            <w:tcW w:w="1560" w:type="dxa"/>
            <w:vMerge/>
            <w:tcBorders>
              <w:left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00"/>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5</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建设项目招标投标和合同审核办法</w:t>
            </w:r>
          </w:p>
        </w:tc>
        <w:tc>
          <w:tcPr>
            <w:tcW w:w="1560" w:type="dxa"/>
            <w:vMerge/>
            <w:tcBorders>
              <w:left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p>
        </w:tc>
      </w:tr>
      <w:tr w:rsidR="00726FCA" w:rsidTr="00290061">
        <w:trPr>
          <w:trHeight w:val="300"/>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6</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医疗卫生基础设施建设的要点和趋势判断</w:t>
            </w:r>
          </w:p>
        </w:tc>
        <w:tc>
          <w:tcPr>
            <w:tcW w:w="1560" w:type="dxa"/>
            <w:vMerge/>
            <w:tcBorders>
              <w:left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7</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跨海大桥施工组织与定额测定方法研究</w:t>
            </w:r>
          </w:p>
        </w:tc>
        <w:tc>
          <w:tcPr>
            <w:tcW w:w="1560" w:type="dxa"/>
            <w:vMerge/>
            <w:tcBorders>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8</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中英工程造价管理体系比较</w:t>
            </w:r>
          </w:p>
        </w:tc>
        <w:tc>
          <w:tcPr>
            <w:tcW w:w="156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管理类</w:t>
            </w: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9</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全过程工程咨询价值管理与集成</w:t>
            </w:r>
          </w:p>
        </w:tc>
        <w:tc>
          <w:tcPr>
            <w:tcW w:w="1560" w:type="dxa"/>
            <w:vMerge/>
            <w:tcBorders>
              <w:left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kern w:val="0"/>
                <w:sz w:val="28"/>
                <w:szCs w:val="28"/>
                <w:lang w:bidi="ar"/>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10</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以投资控制为核心的全过程工程咨询</w:t>
            </w:r>
          </w:p>
        </w:tc>
        <w:tc>
          <w:tcPr>
            <w:tcW w:w="1560" w:type="dxa"/>
            <w:vMerge/>
            <w:tcBorders>
              <w:left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kern w:val="0"/>
                <w:sz w:val="28"/>
                <w:szCs w:val="28"/>
                <w:lang w:bidi="ar"/>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11</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察势者明，趋势者智——解读工程造价改革</w:t>
            </w:r>
          </w:p>
        </w:tc>
        <w:tc>
          <w:tcPr>
            <w:tcW w:w="1560" w:type="dxa"/>
            <w:vMerge/>
            <w:tcBorders>
              <w:left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kern w:val="0"/>
                <w:sz w:val="28"/>
                <w:szCs w:val="28"/>
                <w:lang w:bidi="ar"/>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12</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《工程造价改革方案》的认识与理解</w:t>
            </w:r>
          </w:p>
        </w:tc>
        <w:tc>
          <w:tcPr>
            <w:tcW w:w="1560" w:type="dxa"/>
            <w:vMerge/>
            <w:tcBorders>
              <w:left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kern w:val="0"/>
                <w:sz w:val="28"/>
                <w:szCs w:val="28"/>
                <w:lang w:bidi="ar"/>
              </w:rPr>
            </w:pPr>
          </w:p>
        </w:tc>
      </w:tr>
      <w:tr w:rsidR="00726FCA" w:rsidTr="00290061">
        <w:trPr>
          <w:trHeight w:val="690"/>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13</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工程咨询企业通过并购重组实现流程再造提升全过程工程咨询服务能力</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14</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新基建与PPP</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15</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新基建的重点难点及工程咨询企业的机遇和任务</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16</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疫情防控常态化下的企业生存与发展</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lastRenderedPageBreak/>
              <w:t>17</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员工激励与薪酬设计</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18</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互联网商业模式创新与案例赏析</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19</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库存管理与控制</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20</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企业并购整合理论与案例分析</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21</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采购及供应商管理</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22</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决策理论模型与方法</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23</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依托期货市场实现购销业务模式转型</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24</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知识产权的管理与运用</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25</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疫情下的中国宏观经济分析</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26</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管理沟通与领导力</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27</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企业生产运营管理</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28</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管理学原理</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29</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人力资源管理的六个关键环节</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30</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供应链管理</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31</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物流管理基础知识与应用案例赏析</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32</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管理中的沟通艺术及方法</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33</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管理中的激励理论与实务</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34</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领导科学与艺术</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35</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全过程工程咨询服务合同示范文本</w:t>
            </w:r>
          </w:p>
        </w:tc>
        <w:tc>
          <w:tcPr>
            <w:tcW w:w="156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hint="eastAsia"/>
                <w:color w:val="000000"/>
                <w:kern w:val="0"/>
                <w:sz w:val="28"/>
                <w:szCs w:val="28"/>
                <w:lang w:bidi="ar"/>
              </w:rPr>
            </w:pPr>
            <w:r>
              <w:rPr>
                <w:rFonts w:ascii="仿宋" w:eastAsia="仿宋" w:hAnsi="仿宋" w:cs="仿宋" w:hint="eastAsia"/>
                <w:color w:val="000000"/>
                <w:kern w:val="0"/>
                <w:sz w:val="28"/>
                <w:szCs w:val="28"/>
                <w:lang w:bidi="ar"/>
              </w:rPr>
              <w:t>法律及</w:t>
            </w:r>
          </w:p>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lastRenderedPageBreak/>
              <w:t>合同类</w:t>
            </w:r>
          </w:p>
        </w:tc>
      </w:tr>
      <w:tr w:rsidR="00726FCA" w:rsidTr="00290061">
        <w:trPr>
          <w:trHeight w:val="690"/>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lastRenderedPageBreak/>
              <w:t>36</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最高院施工合同司法解释（二）促进工程造价咨询行业发展的六大亮点</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lastRenderedPageBreak/>
              <w:t>37</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造价工程师应掌握的工程造价相关最新法律条款解读</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38</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BIM技术在工程在施工过程造价控制中的应用</w:t>
            </w:r>
          </w:p>
        </w:tc>
        <w:tc>
          <w:tcPr>
            <w:tcW w:w="1560" w:type="dxa"/>
            <w:vMerge w:val="restart"/>
            <w:tcBorders>
              <w:top w:val="nil"/>
              <w:left w:val="single" w:sz="4" w:space="0" w:color="000000"/>
              <w:bottom w:val="nil"/>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信息类</w:t>
            </w: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39</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企业资源计划系统（ERP）的原理与方法</w:t>
            </w:r>
          </w:p>
        </w:tc>
        <w:tc>
          <w:tcPr>
            <w:tcW w:w="1560" w:type="dxa"/>
            <w:vMerge/>
            <w:tcBorders>
              <w:top w:val="nil"/>
              <w:left w:val="single" w:sz="4" w:space="0" w:color="000000"/>
              <w:bottom w:val="nil"/>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40</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BIM在垃圾焚烧发电项目的应用</w:t>
            </w:r>
          </w:p>
        </w:tc>
        <w:tc>
          <w:tcPr>
            <w:tcW w:w="1560" w:type="dxa"/>
            <w:vMerge/>
            <w:tcBorders>
              <w:top w:val="nil"/>
              <w:left w:val="single" w:sz="4" w:space="0" w:color="000000"/>
              <w:bottom w:val="nil"/>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41</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数字化建造技术在全过程咨询中的实现路径及案例研讨</w:t>
            </w:r>
          </w:p>
        </w:tc>
        <w:tc>
          <w:tcPr>
            <w:tcW w:w="1560" w:type="dxa"/>
            <w:vMerge/>
            <w:tcBorders>
              <w:top w:val="nil"/>
              <w:left w:val="single" w:sz="4" w:space="0" w:color="000000"/>
              <w:bottom w:val="nil"/>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42</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基于价值链模型的互联网思维体系</w:t>
            </w:r>
          </w:p>
        </w:tc>
        <w:tc>
          <w:tcPr>
            <w:tcW w:w="1560" w:type="dxa"/>
            <w:vMerge/>
            <w:tcBorders>
              <w:top w:val="nil"/>
              <w:left w:val="single" w:sz="4" w:space="0" w:color="000000"/>
              <w:bottom w:val="nil"/>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43</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企业管理中的数据搜集方法</w:t>
            </w:r>
          </w:p>
        </w:tc>
        <w:tc>
          <w:tcPr>
            <w:tcW w:w="1560" w:type="dxa"/>
            <w:vMerge/>
            <w:tcBorders>
              <w:top w:val="nil"/>
              <w:left w:val="single" w:sz="4" w:space="0" w:color="000000"/>
              <w:bottom w:val="nil"/>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44</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咨询业数字化的本质与转型路径</w:t>
            </w:r>
          </w:p>
        </w:tc>
        <w:tc>
          <w:tcPr>
            <w:tcW w:w="1560" w:type="dxa"/>
            <w:vMerge/>
            <w:tcBorders>
              <w:top w:val="nil"/>
              <w:left w:val="single" w:sz="4" w:space="0" w:color="000000"/>
              <w:bottom w:val="nil"/>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45</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数字化转型和全过程工程咨询背景下的思考</w:t>
            </w:r>
          </w:p>
        </w:tc>
        <w:tc>
          <w:tcPr>
            <w:tcW w:w="1560" w:type="dxa"/>
            <w:vMerge/>
            <w:tcBorders>
              <w:top w:val="nil"/>
              <w:left w:val="single" w:sz="4" w:space="0" w:color="000000"/>
              <w:bottom w:val="nil"/>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46</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十九大以来中国经济形势分析</w:t>
            </w:r>
          </w:p>
        </w:tc>
        <w:tc>
          <w:tcPr>
            <w:tcW w:w="1560"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综合类</w:t>
            </w: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47</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工业4.0与中国制造2025</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48</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经济内循环的内涵特征及发展路径</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49</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财政机关公文写作方法与技巧</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50</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国家创新驱动发展战略</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51</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从“制造大国”走向“制造强国”</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52</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新型城镇化实践与发展</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53</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中国新型工业化与统筹城乡发展</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54</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国家治理体系和治理能力现代化</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lastRenderedPageBreak/>
              <w:t>55</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财政廉政建设</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56</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财政违法违规警示教育</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57</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职业素养与工匠精神</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58</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传统文化与职工礼仪修养</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59</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传统文化与职工素质提升</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60</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新时代专业技术人员新理念素养提升</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61</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如何成为优秀职业人</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62</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造价工程师的思维边界</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3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63</w:t>
            </w:r>
          </w:p>
        </w:tc>
        <w:tc>
          <w:tcPr>
            <w:tcW w:w="6774"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工程造价宏观政策变化与常见争议解决</w:t>
            </w:r>
          </w:p>
        </w:tc>
        <w:tc>
          <w:tcPr>
            <w:tcW w:w="1560"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bl>
    <w:p w:rsidR="00726FCA" w:rsidRDefault="00726FCA" w:rsidP="00726FCA">
      <w:pPr>
        <w:widowControl/>
        <w:adjustRightInd w:val="0"/>
        <w:snapToGrid w:val="0"/>
        <w:spacing w:line="560" w:lineRule="exact"/>
        <w:ind w:firstLine="709"/>
        <w:jc w:val="left"/>
        <w:rPr>
          <w:rFonts w:ascii="仿宋" w:eastAsia="仿宋" w:hAnsi="仿宋" w:cs="宋体"/>
          <w:color w:val="000000"/>
          <w:kern w:val="0"/>
          <w:sz w:val="32"/>
          <w:szCs w:val="32"/>
        </w:rPr>
        <w:sectPr w:rsidR="00726FCA" w:rsidSect="00777347">
          <w:footerReference w:type="default" r:id="rId4"/>
          <w:pgSz w:w="11906" w:h="16838"/>
          <w:pgMar w:top="1440" w:right="1588" w:bottom="1440" w:left="1588" w:header="851" w:footer="992" w:gutter="0"/>
          <w:pgNumType w:fmt="numberInDash"/>
          <w:cols w:space="425"/>
          <w:docGrid w:type="lines" w:linePitch="312"/>
        </w:sectPr>
      </w:pPr>
    </w:p>
    <w:p w:rsidR="00726FCA" w:rsidRPr="00B749E8" w:rsidRDefault="00726FCA" w:rsidP="00726FCA">
      <w:pPr>
        <w:widowControl/>
        <w:adjustRightInd w:val="0"/>
        <w:snapToGrid w:val="0"/>
        <w:spacing w:line="560" w:lineRule="exact"/>
        <w:ind w:leftChars="1" w:left="639" w:hangingChars="199" w:hanging="637"/>
        <w:rPr>
          <w:rFonts w:ascii="黑体" w:eastAsia="黑体" w:hAnsi="黑体" w:hint="eastAsia"/>
          <w:sz w:val="32"/>
          <w:szCs w:val="32"/>
        </w:rPr>
      </w:pPr>
      <w:r w:rsidRPr="00B749E8">
        <w:rPr>
          <w:rFonts w:ascii="黑体" w:eastAsia="黑体" w:hAnsi="黑体" w:hint="eastAsia"/>
          <w:sz w:val="32"/>
          <w:szCs w:val="32"/>
        </w:rPr>
        <w:lastRenderedPageBreak/>
        <w:t>附件2</w:t>
      </w:r>
    </w:p>
    <w:p w:rsidR="00726FCA" w:rsidRPr="001D243E" w:rsidRDefault="00726FCA" w:rsidP="00726FCA">
      <w:pPr>
        <w:widowControl/>
        <w:adjustRightInd w:val="0"/>
        <w:snapToGrid w:val="0"/>
        <w:spacing w:beforeLines="100" w:before="312" w:afterLines="100" w:after="312" w:line="560" w:lineRule="exact"/>
        <w:ind w:leftChars="1" w:left="881" w:hangingChars="199" w:hanging="879"/>
        <w:jc w:val="center"/>
        <w:rPr>
          <w:rFonts w:ascii="仿宋" w:eastAsia="仿宋" w:hAnsi="仿宋" w:cs="仿宋"/>
          <w:b/>
          <w:color w:val="000000"/>
          <w:kern w:val="0"/>
          <w:sz w:val="44"/>
          <w:szCs w:val="44"/>
          <w:lang w:bidi="ar"/>
        </w:rPr>
      </w:pPr>
      <w:r w:rsidRPr="001D243E">
        <w:rPr>
          <w:rFonts w:ascii="仿宋" w:eastAsia="仿宋" w:hAnsi="仿宋" w:hint="eastAsia"/>
          <w:b/>
          <w:sz w:val="44"/>
          <w:szCs w:val="44"/>
        </w:rPr>
        <w:t>2021年二级造价工程师线上培训课程列表</w:t>
      </w:r>
    </w:p>
    <w:tbl>
      <w:tblPr>
        <w:tblW w:w="8711" w:type="dxa"/>
        <w:jc w:val="center"/>
        <w:tblCellMar>
          <w:left w:w="0" w:type="dxa"/>
          <w:right w:w="0" w:type="dxa"/>
        </w:tblCellMar>
        <w:tblLook w:val="04A0" w:firstRow="1" w:lastRow="0" w:firstColumn="1" w:lastColumn="0" w:noHBand="0" w:noVBand="1"/>
      </w:tblPr>
      <w:tblGrid>
        <w:gridCol w:w="776"/>
        <w:gridCol w:w="6426"/>
        <w:gridCol w:w="1509"/>
      </w:tblGrid>
      <w:tr w:rsidR="00726FCA" w:rsidTr="00290061">
        <w:trPr>
          <w:trHeight w:val="300"/>
          <w:tblHeader/>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序号</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课程名称</w:t>
            </w:r>
          </w:p>
        </w:tc>
        <w:tc>
          <w:tcPr>
            <w:tcW w:w="150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课程类型</w:t>
            </w:r>
          </w:p>
        </w:tc>
      </w:tr>
      <w:tr w:rsidR="00726FCA" w:rsidTr="00290061">
        <w:trPr>
          <w:trHeight w:val="300"/>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1</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清单计价技巧</w:t>
            </w:r>
          </w:p>
        </w:tc>
        <w:tc>
          <w:tcPr>
            <w:tcW w:w="15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技术经济类</w:t>
            </w:r>
          </w:p>
        </w:tc>
      </w:tr>
      <w:tr w:rsidR="00726FCA" w:rsidTr="00290061">
        <w:trPr>
          <w:trHeight w:val="345"/>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2</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工程项目建设程序</w:t>
            </w:r>
          </w:p>
        </w:tc>
        <w:tc>
          <w:tcPr>
            <w:tcW w:w="150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3</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工程造价概论</w:t>
            </w:r>
          </w:p>
        </w:tc>
        <w:tc>
          <w:tcPr>
            <w:tcW w:w="150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4</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十九大以来中国经济形势分析</w:t>
            </w:r>
          </w:p>
        </w:tc>
        <w:tc>
          <w:tcPr>
            <w:tcW w:w="150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00"/>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5</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新冠疫情事件的工期与费用索赔</w:t>
            </w:r>
          </w:p>
        </w:tc>
        <w:tc>
          <w:tcPr>
            <w:tcW w:w="150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00"/>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6</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经济内循环的内涵特征及发展路径</w:t>
            </w:r>
          </w:p>
        </w:tc>
        <w:tc>
          <w:tcPr>
            <w:tcW w:w="150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7</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疫情下的中国宏观经济分析</w:t>
            </w:r>
          </w:p>
        </w:tc>
        <w:tc>
          <w:tcPr>
            <w:tcW w:w="150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00"/>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8</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水利工程概估算编制注意事项</w:t>
            </w:r>
          </w:p>
        </w:tc>
        <w:tc>
          <w:tcPr>
            <w:tcW w:w="150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9</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跨海大桥施工组织与定额测定方法研究</w:t>
            </w:r>
          </w:p>
        </w:tc>
        <w:tc>
          <w:tcPr>
            <w:tcW w:w="150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10</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BIM技术造价应用</w:t>
            </w:r>
          </w:p>
        </w:tc>
        <w:tc>
          <w:tcPr>
            <w:tcW w:w="15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信息类</w:t>
            </w:r>
          </w:p>
        </w:tc>
      </w:tr>
      <w:tr w:rsidR="00726FCA" w:rsidTr="00290061">
        <w:trPr>
          <w:trHeight w:val="345"/>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11</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BIM在幕墙工程上的应用</w:t>
            </w:r>
          </w:p>
        </w:tc>
        <w:tc>
          <w:tcPr>
            <w:tcW w:w="150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12</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BIM技术在施工过程造价控制中的应用</w:t>
            </w:r>
          </w:p>
        </w:tc>
        <w:tc>
          <w:tcPr>
            <w:tcW w:w="150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13</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知识产权的管理与运用</w:t>
            </w:r>
          </w:p>
        </w:tc>
        <w:tc>
          <w:tcPr>
            <w:tcW w:w="15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hint="eastAsia"/>
                <w:color w:val="000000"/>
                <w:kern w:val="0"/>
                <w:sz w:val="28"/>
                <w:szCs w:val="28"/>
                <w:lang w:bidi="ar"/>
              </w:rPr>
            </w:pPr>
            <w:r>
              <w:rPr>
                <w:rFonts w:ascii="仿宋" w:eastAsia="仿宋" w:hAnsi="仿宋" w:cs="仿宋" w:hint="eastAsia"/>
                <w:color w:val="000000"/>
                <w:kern w:val="0"/>
                <w:sz w:val="28"/>
                <w:szCs w:val="28"/>
                <w:lang w:bidi="ar"/>
              </w:rPr>
              <w:t>法律及</w:t>
            </w:r>
          </w:p>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合同类</w:t>
            </w:r>
          </w:p>
        </w:tc>
      </w:tr>
      <w:tr w:rsidR="00726FCA" w:rsidTr="00290061">
        <w:trPr>
          <w:trHeight w:val="300"/>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14</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建设项目招标投标和合同审核办法</w:t>
            </w:r>
          </w:p>
        </w:tc>
        <w:tc>
          <w:tcPr>
            <w:tcW w:w="150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00"/>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15</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新形势下如何做好工程造价咨询项目经理</w:t>
            </w:r>
          </w:p>
        </w:tc>
        <w:tc>
          <w:tcPr>
            <w:tcW w:w="1509" w:type="dxa"/>
            <w:vMerge w:val="restart"/>
            <w:tcBorders>
              <w:top w:val="single" w:sz="4" w:space="0" w:color="000000"/>
              <w:left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r>
              <w:rPr>
                <w:rFonts w:ascii="仿宋" w:eastAsia="仿宋" w:hAnsi="仿宋" w:cs="仿宋" w:hint="eastAsia"/>
                <w:color w:val="000000"/>
                <w:sz w:val="28"/>
                <w:szCs w:val="28"/>
              </w:rPr>
              <w:t>管理类</w:t>
            </w:r>
          </w:p>
        </w:tc>
      </w:tr>
      <w:tr w:rsidR="00726FCA" w:rsidTr="00290061">
        <w:trPr>
          <w:trHeight w:val="300"/>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16</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工程造价咨询项目经理的基本能力及素质</w:t>
            </w:r>
          </w:p>
        </w:tc>
        <w:tc>
          <w:tcPr>
            <w:tcW w:w="1509" w:type="dxa"/>
            <w:vMerge/>
            <w:tcBorders>
              <w:left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00"/>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17</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工程造价项目经理岗位职责、工作要点和知识拓展</w:t>
            </w:r>
          </w:p>
        </w:tc>
        <w:tc>
          <w:tcPr>
            <w:tcW w:w="1509" w:type="dxa"/>
            <w:vMerge/>
            <w:tcBorders>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lastRenderedPageBreak/>
              <w:t>18</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新时代专业技术人员新理念素养提升</w:t>
            </w:r>
          </w:p>
        </w:tc>
        <w:tc>
          <w:tcPr>
            <w:tcW w:w="1509" w:type="dxa"/>
            <w:vMerge w:val="restart"/>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综合类</w:t>
            </w:r>
          </w:p>
        </w:tc>
      </w:tr>
      <w:tr w:rsidR="00726FCA" w:rsidTr="00290061">
        <w:trPr>
          <w:trHeight w:val="345"/>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19</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造价工程师的思维边界</w:t>
            </w:r>
          </w:p>
        </w:tc>
        <w:tc>
          <w:tcPr>
            <w:tcW w:w="150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20</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工业4.0与中国制造2025</w:t>
            </w:r>
          </w:p>
        </w:tc>
        <w:tc>
          <w:tcPr>
            <w:tcW w:w="150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21</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Excel在财务中的应用案例精讲（高级）</w:t>
            </w:r>
          </w:p>
        </w:tc>
        <w:tc>
          <w:tcPr>
            <w:tcW w:w="150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22</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PPT工作报告设计</w:t>
            </w:r>
          </w:p>
        </w:tc>
        <w:tc>
          <w:tcPr>
            <w:tcW w:w="150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23</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财政机关公文写作方法与技巧</w:t>
            </w:r>
          </w:p>
        </w:tc>
        <w:tc>
          <w:tcPr>
            <w:tcW w:w="150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24</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用思维导图点亮你的生活和工作</w:t>
            </w:r>
          </w:p>
        </w:tc>
        <w:tc>
          <w:tcPr>
            <w:tcW w:w="150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25</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职业素养与工匠精神</w:t>
            </w:r>
          </w:p>
        </w:tc>
        <w:tc>
          <w:tcPr>
            <w:tcW w:w="150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26</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传统文化与职工礼仪修养</w:t>
            </w:r>
          </w:p>
        </w:tc>
        <w:tc>
          <w:tcPr>
            <w:tcW w:w="150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27</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传统文化与职工素质提升</w:t>
            </w:r>
          </w:p>
        </w:tc>
        <w:tc>
          <w:tcPr>
            <w:tcW w:w="150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28</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如何成为优秀职业人</w:t>
            </w:r>
          </w:p>
        </w:tc>
        <w:tc>
          <w:tcPr>
            <w:tcW w:w="150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29</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财政廉政建设</w:t>
            </w:r>
          </w:p>
        </w:tc>
        <w:tc>
          <w:tcPr>
            <w:tcW w:w="150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r w:rsidR="00726FCA" w:rsidTr="00290061">
        <w:trPr>
          <w:trHeight w:val="345"/>
          <w:jc w:val="center"/>
        </w:trPr>
        <w:tc>
          <w:tcPr>
            <w:tcW w:w="7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center"/>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30</w:t>
            </w:r>
          </w:p>
        </w:tc>
        <w:tc>
          <w:tcPr>
            <w:tcW w:w="642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widowControl/>
              <w:jc w:val="left"/>
              <w:textAlignment w:val="center"/>
              <w:rPr>
                <w:rFonts w:ascii="仿宋" w:eastAsia="仿宋" w:hAnsi="仿宋" w:cs="仿宋"/>
                <w:color w:val="000000"/>
                <w:sz w:val="28"/>
                <w:szCs w:val="28"/>
              </w:rPr>
            </w:pPr>
            <w:r>
              <w:rPr>
                <w:rFonts w:ascii="仿宋" w:eastAsia="仿宋" w:hAnsi="仿宋" w:cs="仿宋" w:hint="eastAsia"/>
                <w:color w:val="000000"/>
                <w:kern w:val="0"/>
                <w:sz w:val="28"/>
                <w:szCs w:val="28"/>
                <w:lang w:bidi="ar"/>
              </w:rPr>
              <w:t>财政违法违规警示教育</w:t>
            </w:r>
          </w:p>
        </w:tc>
        <w:tc>
          <w:tcPr>
            <w:tcW w:w="1509" w:type="dxa"/>
            <w:vMerge/>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726FCA" w:rsidRDefault="00726FCA" w:rsidP="00290061">
            <w:pPr>
              <w:jc w:val="center"/>
              <w:rPr>
                <w:rFonts w:ascii="仿宋" w:eastAsia="仿宋" w:hAnsi="仿宋" w:cs="仿宋"/>
                <w:color w:val="000000"/>
                <w:sz w:val="28"/>
                <w:szCs w:val="28"/>
              </w:rPr>
            </w:pPr>
          </w:p>
        </w:tc>
      </w:tr>
    </w:tbl>
    <w:p w:rsidR="00726FCA" w:rsidRPr="00933E43" w:rsidRDefault="00726FCA" w:rsidP="00726FCA">
      <w:pPr>
        <w:widowControl/>
        <w:adjustRightInd w:val="0"/>
        <w:snapToGrid w:val="0"/>
        <w:spacing w:line="560" w:lineRule="exact"/>
        <w:ind w:leftChars="1" w:left="639" w:hangingChars="199" w:hanging="637"/>
        <w:rPr>
          <w:rFonts w:ascii="仿宋" w:eastAsia="仿宋" w:hAnsi="仿宋" w:cs="宋体"/>
          <w:color w:val="000000"/>
          <w:kern w:val="0"/>
          <w:sz w:val="32"/>
          <w:szCs w:val="32"/>
        </w:rPr>
      </w:pPr>
    </w:p>
    <w:p w:rsidR="00F757B7" w:rsidRPr="00726FCA" w:rsidRDefault="00F757B7">
      <w:pPr>
        <w:rPr>
          <w:rFonts w:hint="eastAsia"/>
        </w:rPr>
      </w:pPr>
    </w:p>
    <w:sectPr w:rsidR="00F757B7" w:rsidRPr="00726FC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7347" w:rsidRPr="00777347" w:rsidRDefault="00726FCA" w:rsidP="00B96CBD">
    <w:pPr>
      <w:ind w:firstLineChars="100" w:firstLine="280"/>
      <w:jc w:val="right"/>
      <w:rPr>
        <w:rFonts w:ascii="宋体" w:hAnsi="宋体"/>
        <w:sz w:val="28"/>
        <w:szCs w:val="28"/>
      </w:rPr>
    </w:pPr>
    <w:r w:rsidRPr="00777347">
      <w:rPr>
        <w:rFonts w:ascii="宋体" w:hAnsi="宋体"/>
        <w:sz w:val="28"/>
        <w:szCs w:val="28"/>
      </w:rPr>
      <w:fldChar w:fldCharType="begin"/>
    </w:r>
    <w:r w:rsidRPr="00777347">
      <w:rPr>
        <w:rFonts w:ascii="宋体" w:hAnsi="宋体"/>
        <w:sz w:val="28"/>
        <w:szCs w:val="28"/>
      </w:rPr>
      <w:instrText>PAGE   \* MERGEFORMAT</w:instrText>
    </w:r>
    <w:r w:rsidRPr="00777347">
      <w:rPr>
        <w:rFonts w:ascii="宋体" w:hAnsi="宋体"/>
        <w:sz w:val="28"/>
        <w:szCs w:val="28"/>
      </w:rPr>
      <w:fldChar w:fldCharType="separate"/>
    </w:r>
    <w:r w:rsidRPr="00726FCA">
      <w:rPr>
        <w:rFonts w:ascii="宋体" w:hAnsi="宋体"/>
        <w:noProof/>
        <w:sz w:val="28"/>
        <w:szCs w:val="28"/>
        <w:lang w:val="zh-CN"/>
      </w:rPr>
      <w:t>-</w:t>
    </w:r>
    <w:r>
      <w:rPr>
        <w:rFonts w:ascii="宋体" w:hAnsi="宋体"/>
        <w:noProof/>
        <w:sz w:val="28"/>
        <w:szCs w:val="28"/>
      </w:rPr>
      <w:t xml:space="preserve"> 1 -</w:t>
    </w:r>
    <w:r w:rsidRPr="00777347">
      <w:rPr>
        <w:rFonts w:ascii="宋体" w:hAnsi="宋体"/>
        <w:sz w:val="28"/>
        <w:szCs w:val="28"/>
      </w:rPr>
      <w:fldChar w:fldCharType="end"/>
    </w:r>
    <w:r w:rsidRPr="00777347">
      <w:rPr>
        <w:rFonts w:ascii="宋体" w:hAnsi="宋体" w:hint="eastAsia"/>
        <w:sz w:val="28"/>
        <w:szCs w:val="28"/>
      </w:rPr>
      <w:t xml:space="preserve">  </w:t>
    </w:r>
  </w:p>
  <w:p w:rsidR="00777347" w:rsidRDefault="00726FCA">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69AD"/>
    <w:rsid w:val="000031FF"/>
    <w:rsid w:val="00076201"/>
    <w:rsid w:val="000A7C3D"/>
    <w:rsid w:val="002269AD"/>
    <w:rsid w:val="00273320"/>
    <w:rsid w:val="005B2ADD"/>
    <w:rsid w:val="005E068D"/>
    <w:rsid w:val="006C66FD"/>
    <w:rsid w:val="00724C0B"/>
    <w:rsid w:val="00726FCA"/>
    <w:rsid w:val="0079479A"/>
    <w:rsid w:val="00870622"/>
    <w:rsid w:val="008D4127"/>
    <w:rsid w:val="009B751C"/>
    <w:rsid w:val="009D0B84"/>
    <w:rsid w:val="00A60FF8"/>
    <w:rsid w:val="00A86BE1"/>
    <w:rsid w:val="00AA5C62"/>
    <w:rsid w:val="00AF74F9"/>
    <w:rsid w:val="00D528D9"/>
    <w:rsid w:val="00EA271E"/>
    <w:rsid w:val="00F757B7"/>
    <w:rsid w:val="00FE7F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E0CE45-8622-46BF-A441-457E7C1C0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26FCA"/>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726FCA"/>
    <w:pPr>
      <w:tabs>
        <w:tab w:val="center" w:pos="4153"/>
        <w:tab w:val="right" w:pos="8306"/>
      </w:tabs>
      <w:snapToGrid w:val="0"/>
      <w:jc w:val="left"/>
    </w:pPr>
    <w:rPr>
      <w:sz w:val="18"/>
      <w:szCs w:val="18"/>
    </w:rPr>
  </w:style>
  <w:style w:type="character" w:customStyle="1" w:styleId="Char">
    <w:name w:val="页脚 Char"/>
    <w:basedOn w:val="a0"/>
    <w:link w:val="a3"/>
    <w:uiPriority w:val="99"/>
    <w:rsid w:val="00726FCA"/>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284</Words>
  <Characters>1620</Characters>
  <Application>Microsoft Office Word</Application>
  <DocSecurity>0</DocSecurity>
  <Lines>13</Lines>
  <Paragraphs>3</Paragraphs>
  <ScaleCrop>false</ScaleCrop>
  <Company>Organization</Company>
  <LinksUpToDate>false</LinksUpToDate>
  <CharactersWithSpaces>1901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2021-03-10T02:24:00Z</dcterms:created>
  <dcterms:modified xsi:type="dcterms:W3CDTF">2021-03-10T02:26:00Z</dcterms:modified>
</cp:coreProperties>
</file>